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bookmarkStart w:id="0" w:name="page1"/>
    <w:bookmarkEnd w:id="0"/>
    <w:p>
      <w:pPr>
        <w:spacing w:after="0" w:line="62" w:lineRule="exact"/>
      </w:pPr>
    </w:p>
    <w:p>
      <w:pPr>
        <w:spacing w:after="0" w:line="548" w:lineRule="exact"/>
        <w:ind w:left="1640"/>
        <w:rPr>
          <w:sz w:val="20"/>
          <w:szCs w:val="20"/>
        </w:rPr>
      </w:pPr>
      <w:r>
        <w:rPr>
          <w:rFonts w:ascii="宋体" w:eastAsia="宋体" w:hAnsi="宋体" w:cs="宋体"/>
          <w:sz w:val="48"/>
          <w:szCs w:val="48"/>
        </w:rPr>
        <w:t>《数字法治》征稿启事</w:t>
      </w:r>
    </w:p>
    <w:p>
      <w:pPr>
        <w:spacing w:after="0" w:line="310" w:lineRule="exact"/>
      </w:pPr>
    </w:p>
    <w:p>
      <w:pPr>
        <w:spacing w:after="0" w:line="243" w:lineRule="exact"/>
        <w:ind w:left="3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《数字法治》聚焦数字法学研究，助力数字法治建设，设有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宋体" w:eastAsia="宋体" w:hAnsi="宋体" w:cs="宋体"/>
          <w:sz w:val="20"/>
          <w:szCs w:val="20"/>
        </w:rPr>
        <w:t>特稿</w:t>
      </w:r>
      <w:r>
        <w:rPr>
          <w:rFonts w:ascii="Arial" w:eastAsia="Arial" w:hAnsi="Arial" w:cs="Arial"/>
          <w:sz w:val="20"/>
          <w:szCs w:val="20"/>
        </w:rPr>
        <w:t>”“</w:t>
      </w:r>
      <w:r>
        <w:rPr>
          <w:rFonts w:ascii="宋体" w:eastAsia="宋体" w:hAnsi="宋体" w:cs="宋体"/>
          <w:sz w:val="20"/>
          <w:szCs w:val="20"/>
        </w:rPr>
        <w:t>圆桌话题</w:t>
      </w:r>
      <w:r>
        <w:rPr>
          <w:rFonts w:ascii="Arial" w:eastAsia="Arial" w:hAnsi="Arial" w:cs="Arial"/>
          <w:sz w:val="20"/>
          <w:szCs w:val="20"/>
        </w:rPr>
        <w:t>”“</w:t>
      </w:r>
      <w:r>
        <w:rPr>
          <w:rFonts w:ascii="宋体" w:eastAsia="宋体" w:hAnsi="宋体" w:cs="宋体"/>
          <w:sz w:val="20"/>
          <w:szCs w:val="20"/>
        </w:rPr>
        <w:t>学术专</w:t>
      </w:r>
    </w:p>
    <w:p>
      <w:pPr>
        <w:spacing w:after="0" w:line="158" w:lineRule="exact"/>
      </w:pPr>
    </w:p>
    <w:p>
      <w:pPr>
        <w:spacing w:after="0" w:line="243" w:lineRule="exact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论</w:t>
      </w:r>
      <w:r>
        <w:rPr>
          <w:rFonts w:ascii="Arial" w:eastAsia="Arial" w:hAnsi="Arial" w:cs="Arial"/>
          <w:sz w:val="20"/>
          <w:szCs w:val="20"/>
        </w:rPr>
        <w:t>”“</w:t>
      </w:r>
      <w:r>
        <w:rPr>
          <w:rFonts w:ascii="宋体" w:eastAsia="宋体" w:hAnsi="宋体" w:cs="宋体"/>
          <w:sz w:val="20"/>
          <w:szCs w:val="20"/>
        </w:rPr>
        <w:t>法治实践</w:t>
      </w:r>
      <w:r>
        <w:rPr>
          <w:rFonts w:ascii="Arial" w:eastAsia="Arial" w:hAnsi="Arial" w:cs="Arial"/>
          <w:sz w:val="20"/>
          <w:szCs w:val="20"/>
        </w:rPr>
        <w:t>”“</w:t>
      </w:r>
      <w:r>
        <w:rPr>
          <w:rFonts w:ascii="宋体" w:eastAsia="宋体" w:hAnsi="宋体" w:cs="宋体"/>
          <w:sz w:val="20"/>
          <w:szCs w:val="20"/>
        </w:rPr>
        <w:t>青年视点</w:t>
      </w:r>
      <w:r>
        <w:rPr>
          <w:rFonts w:ascii="Arial" w:eastAsia="Arial" w:hAnsi="Arial" w:cs="Arial"/>
          <w:sz w:val="20"/>
          <w:szCs w:val="20"/>
        </w:rPr>
        <w:t>”“</w:t>
      </w:r>
      <w:r>
        <w:rPr>
          <w:rFonts w:ascii="宋体" w:eastAsia="宋体" w:hAnsi="宋体" w:cs="宋体"/>
          <w:sz w:val="20"/>
          <w:szCs w:val="20"/>
        </w:rPr>
        <w:t>域外观察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宋体" w:eastAsia="宋体" w:hAnsi="宋体" w:cs="宋体"/>
          <w:sz w:val="20"/>
          <w:szCs w:val="20"/>
        </w:rPr>
        <w:t>等栏目，欢迎海内外专家学者惠赐佳作。</w:t>
      </w:r>
    </w:p>
    <w:p>
      <w:pPr>
        <w:spacing w:after="0" w:line="166" w:lineRule="exact"/>
      </w:pPr>
    </w:p>
    <w:p>
      <w:pPr>
        <w:spacing w:after="0" w:line="229" w:lineRule="exact"/>
        <w:ind w:left="4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来稿要求：</w:t>
      </w:r>
    </w:p>
    <w:p>
      <w:pPr>
        <w:spacing w:after="0" w:line="163" w:lineRule="exact"/>
      </w:pPr>
    </w:p>
    <w:p>
      <w:pPr>
        <w:numPr>
          <w:ilvl w:val="0"/>
          <w:numId w:val="1"/>
        </w:numPr>
        <w:tabs>
          <w:tab w:val="left" w:pos="600"/>
        </w:tabs>
        <w:spacing w:after="0" w:line="244" w:lineRule="exact"/>
        <w:ind w:left="600" w:hanging="19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本刊不接受一稿多投，来稿应属未以任何形式公开发表过的作品。</w:t>
      </w:r>
    </w:p>
    <w:p>
      <w:pPr>
        <w:spacing w:after="0" w:line="156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600"/>
        </w:tabs>
        <w:spacing w:after="0" w:line="244" w:lineRule="exact"/>
        <w:ind w:left="600" w:hanging="19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文章聚焦数字法治领域的理论与实践，内容围绕但不限于以下主题：</w:t>
      </w:r>
    </w:p>
    <w:p>
      <w:pPr>
        <w:spacing w:after="0" w:line="143" w:lineRule="exact"/>
      </w:pPr>
    </w:p>
    <w:p>
      <w:pPr>
        <w:spacing w:after="0" w:line="244" w:lineRule="exact"/>
        <w:ind w:left="3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（</w:t>
      </w:r>
      <w:r>
        <w:rPr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</w:rPr>
        <w:t>）体现数字时代对法治建设提出的新理念、新要求；呈现数字化转型对法治社会及数字</w:t>
      </w:r>
    </w:p>
    <w:p>
      <w:pPr>
        <w:spacing w:after="0" w:line="180" w:lineRule="exact"/>
      </w:pPr>
    </w:p>
    <w:p>
      <w:pPr>
        <w:spacing w:after="0" w:line="229" w:lineRule="exact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法学理论带来的影响与变革，促进数字法治，实现数字正义。</w:t>
      </w:r>
    </w:p>
    <w:p>
      <w:pPr>
        <w:spacing w:after="0" w:line="149" w:lineRule="exact"/>
      </w:pPr>
    </w:p>
    <w:p>
      <w:pPr>
        <w:spacing w:after="0" w:line="244" w:lineRule="exact"/>
        <w:ind w:left="3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（</w:t>
      </w:r>
      <w:r>
        <w:rPr>
          <w:sz w:val="20"/>
          <w:szCs w:val="20"/>
        </w:rPr>
        <w:t>2</w:t>
      </w:r>
      <w:r>
        <w:rPr>
          <w:rFonts w:ascii="宋体" w:eastAsia="宋体" w:hAnsi="宋体" w:cs="宋体"/>
          <w:sz w:val="20"/>
          <w:szCs w:val="20"/>
        </w:rPr>
        <w:t>）围绕网络治理、数据治理、人工智能治理等领域的热点前沿问题进行探讨与分析，以</w:t>
      </w:r>
    </w:p>
    <w:p>
      <w:pPr>
        <w:spacing w:after="0" w:line="180" w:lineRule="exact"/>
      </w:pPr>
    </w:p>
    <w:p>
      <w:pPr>
        <w:spacing w:after="0" w:line="229" w:lineRule="exact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多学科全方位视角和前瞻性的视野，总结司法实践经验，推动数字法学的研究与发展。</w:t>
      </w:r>
    </w:p>
    <w:p>
      <w:pPr>
        <w:spacing w:after="0" w:line="149" w:lineRule="exact"/>
      </w:pPr>
    </w:p>
    <w:p>
      <w:pPr>
        <w:spacing w:after="0" w:line="244" w:lineRule="exact"/>
        <w:ind w:left="30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（</w:t>
      </w:r>
      <w:r>
        <w:rPr>
          <w:sz w:val="20"/>
          <w:szCs w:val="20"/>
        </w:rPr>
        <w:t>3</w:t>
      </w:r>
      <w:r>
        <w:rPr>
          <w:rFonts w:ascii="宋体" w:eastAsia="宋体" w:hAnsi="宋体" w:cs="宋体"/>
          <w:sz w:val="20"/>
          <w:szCs w:val="20"/>
        </w:rPr>
        <w:t>）展现国际社会对数字化发展的立法与评介，推进数据安全等领域的国际准则制定，共</w:t>
      </w:r>
    </w:p>
    <w:p>
      <w:pPr>
        <w:spacing w:after="0" w:line="180" w:lineRule="exact"/>
      </w:pPr>
    </w:p>
    <w:p>
      <w:pPr>
        <w:spacing w:after="0" w:line="229" w:lineRule="exact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同应对全球数字化面临的挑战。</w:t>
      </w:r>
    </w:p>
    <w:p>
      <w:pPr>
        <w:spacing w:after="0" w:line="149" w:lineRule="exact"/>
      </w:pPr>
    </w:p>
    <w:p>
      <w:pPr>
        <w:numPr>
          <w:ilvl w:val="0"/>
          <w:numId w:val="2"/>
        </w:numPr>
        <w:tabs>
          <w:tab w:val="left" w:pos="600"/>
        </w:tabs>
        <w:spacing w:after="0" w:line="244" w:lineRule="exact"/>
        <w:ind w:left="600" w:hanging="19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来稿请注明标题（中英文）及作者信息。文章字数一般为每篇</w:t>
      </w:r>
      <w:r>
        <w:rPr>
          <w:sz w:val="20"/>
          <w:szCs w:val="20"/>
        </w:rPr>
        <w:t xml:space="preserve"> 10000~20000 </w:t>
      </w:r>
      <w:r>
        <w:rPr>
          <w:rFonts w:ascii="宋体" w:eastAsia="宋体" w:hAnsi="宋体" w:cs="宋体"/>
          <w:sz w:val="20"/>
          <w:szCs w:val="20"/>
        </w:rPr>
        <w:t>字，含</w:t>
      </w:r>
    </w:p>
    <w:p>
      <w:pPr>
        <w:spacing w:after="0" w:line="157" w:lineRule="exact"/>
      </w:pPr>
    </w:p>
    <w:p>
      <w:pPr>
        <w:spacing w:after="0" w:line="329" w:lineRule="exact"/>
        <w:rPr>
          <w:sz w:val="20"/>
          <w:szCs w:val="20"/>
        </w:rPr>
      </w:pPr>
      <w:r>
        <w:rPr>
          <w:sz w:val="20"/>
          <w:szCs w:val="20"/>
        </w:rPr>
        <w:t xml:space="preserve">200~300 </w:t>
      </w:r>
      <w:r>
        <w:rPr>
          <w:rFonts w:ascii="宋体" w:eastAsia="宋体" w:hAnsi="宋体" w:cs="宋体"/>
          <w:sz w:val="20"/>
          <w:szCs w:val="20"/>
        </w:rPr>
        <w:t>字的内容提要（中英文）、关键词。如文章受到基金资助，以脚注形式标注于文章标题后。</w:t>
      </w:r>
    </w:p>
    <w:p>
      <w:pPr>
        <w:spacing w:after="0" w:line="167" w:lineRule="exact"/>
      </w:pPr>
    </w:p>
    <w:p>
      <w:pPr>
        <w:numPr>
          <w:ilvl w:val="0"/>
          <w:numId w:val="3"/>
        </w:numPr>
        <w:tabs>
          <w:tab w:val="left" w:pos="600"/>
        </w:tabs>
        <w:spacing w:after="0" w:line="317" w:lineRule="exact"/>
        <w:ind w:firstLine="404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来稿应遵守本刊体例规范，注释以必要和合理为原则，不使用尾注；标点符号、数字的使用应遵守国家有关规定。</w:t>
      </w:r>
    </w:p>
    <w:p>
      <w:pPr>
        <w:spacing w:after="0" w:line="167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00"/>
        </w:tabs>
        <w:spacing w:after="0" w:line="317" w:lineRule="exact"/>
        <w:ind w:firstLine="404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本刊实行专家匿名审稿制度，在充分尊重专家评审意见的基础上，结合期刊的定位、宗旨、特色、学科等因素，决定是否刊用投稿。</w:t>
      </w:r>
    </w:p>
    <w:p>
      <w:pPr>
        <w:spacing w:after="0" w:line="167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00"/>
        </w:tabs>
        <w:spacing w:after="0" w:line="317" w:lineRule="exact"/>
        <w:ind w:firstLine="404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本刊不退来稿，稿件采用后，编辑部会及时与作者联系；作者投稿后三个月未收到用稿通知的，可另作处理。</w:t>
      </w:r>
    </w:p>
    <w:p>
      <w:pPr>
        <w:spacing w:after="0" w:line="158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00"/>
        </w:tabs>
        <w:spacing w:after="0" w:line="244" w:lineRule="exact"/>
        <w:ind w:left="600" w:hanging="19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稿件一经刊用，即向作者酌致稿费；本刊不收取版面费。</w:t>
      </w:r>
    </w:p>
    <w:p>
      <w:pPr>
        <w:spacing w:after="0" w:line="165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00"/>
        </w:tabs>
        <w:spacing w:after="0" w:line="372" w:lineRule="exact"/>
        <w:ind w:firstLine="404"/>
        <w:jc w:val="both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作者同意将论文的纸质期刊和以电子形式制作、传播、销售的各项权利（包括但不限于汇编权、翻译权、复制权、网络信息传播权、发行权等）授权给本刊编辑部使用，本刊编辑部可以在纸质期刊和电子形式出版中行使该权利，作者在五年内不再许可其他出版单位（包括网络和微信媒体）使用。任何转载、摘登、翻译或结集出版、网络传播、数据库收录或以其他任何形式使用时，均须事先获得本刊编辑部的书面许可。作者保证该论文为原创作品，并且不涉及侵权、一稿多发、泄密等问题，若存在此类问题，则由作者承担该责任。</w:t>
      </w:r>
    </w:p>
    <w:p>
      <w:pPr>
        <w:spacing w:after="0" w:line="159" w:lineRule="exact"/>
        <w:rPr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600"/>
        </w:tabs>
        <w:spacing w:after="0" w:line="244" w:lineRule="exact"/>
        <w:ind w:left="600" w:hanging="196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刊稿仅反映作者个人的观点，并不必然代表本刊或主管单位、主办单位的立场。</w:t>
      </w:r>
    </w:p>
    <w:p>
      <w:pPr>
        <w:spacing w:after="0" w:line="2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column">
              <wp:posOffset>-824865</wp:posOffset>
            </wp:positionH>
            <wp:positionV relativeFrom="paragraph">
              <wp:posOffset>-3068955</wp:posOffset>
            </wp:positionV>
            <wp:extent cx="86360" cy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3" w:lineRule="exact"/>
      </w:pPr>
    </w:p>
    <w:p>
      <w:pPr>
        <w:numPr>
          <w:ilvl w:val="0"/>
          <w:numId w:val="4"/>
        </w:numPr>
        <w:tabs>
          <w:tab w:val="left" w:pos="680"/>
        </w:tabs>
        <w:spacing w:after="0" w:line="244" w:lineRule="exact"/>
        <w:ind w:left="680" w:hanging="308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投稿请发邮箱：</w:t>
      </w:r>
      <w:r>
        <w:rPr>
          <w:sz w:val="20"/>
          <w:szCs w:val="20"/>
        </w:rPr>
        <w:t>szfzqk@163.com</w:t>
      </w:r>
      <w:r>
        <w:rPr>
          <w:rFonts w:ascii="宋体" w:eastAsia="宋体" w:hAnsi="宋体" w:cs="宋体"/>
          <w:sz w:val="20"/>
          <w:szCs w:val="20"/>
        </w:rPr>
        <w:t>，并在邮件中注明作者、单位及联系方式。</w:t>
      </w:r>
    </w:p>
    <w:sectPr>
      <w:pgSz w:w="10820" w:h="15080" w:orient="portrait"/>
      <w:pgMar w:top="1440" w:right="1308" w:bottom="728" w:left="1300" w:header="0" w:footer="0" w:gutter="0"/>
      <w:cols w:num="1" w:space="708" w:equalWidth="0">
        <w:col w:w="8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41BB"/>
    <w:multiLevelType w:val="hybridMultilevel"/>
    <w:tmpl w:val="00000000"/>
    <w:lvl w:ilvl="0">
      <w:start w:val="10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5AF1"/>
    <w:multiLevelType w:val="hybridMultilevel"/>
    <w:tmpl w:val="00000000"/>
    <w:lvl w:ilvl="0">
      <w:start w:val="4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6DF1"/>
    <w:multiLevelType w:val="hybridMultilevel"/>
    <w:tmpl w:val="00000000"/>
    <w:lvl w:ilvl="0">
      <w:start w:val="3"/>
      <w:numFmt w:val="decimal"/>
      <w:lvlText w:val="%1.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